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BAE" w:rsidRDefault="000C2BAE" w:rsidP="009271C1">
      <w:pPr>
        <w:spacing w:after="0"/>
        <w:rPr>
          <w:b/>
          <w:lang w:val="en-US"/>
        </w:rPr>
      </w:pPr>
      <w:bookmarkStart w:id="0" w:name="_GoBack"/>
      <w:bookmarkEnd w:id="0"/>
    </w:p>
    <w:p w:rsidR="009271C1" w:rsidRPr="005F6711" w:rsidRDefault="00F21C46" w:rsidP="009271C1">
      <w:pPr>
        <w:spacing w:after="0"/>
        <w:rPr>
          <w:b/>
          <w:lang w:val="en-US"/>
        </w:rPr>
      </w:pPr>
      <w:r>
        <w:rPr>
          <w:rFonts w:ascii="Century Gothic" w:hAnsi="Century Gothic"/>
          <w:noProof/>
          <w:lang w:val="en-US"/>
        </w:rPr>
        <w:drawing>
          <wp:inline distT="0" distB="0" distL="0" distR="0" wp14:anchorId="788B3F75" wp14:editId="110E5D07">
            <wp:extent cx="1358900" cy="33605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9826" cy="336279"/>
                    </a:xfrm>
                    <a:prstGeom prst="rect">
                      <a:avLst/>
                    </a:prstGeom>
                    <a:noFill/>
                    <a:ln>
                      <a:noFill/>
                    </a:ln>
                  </pic:spPr>
                </pic:pic>
              </a:graphicData>
            </a:graphic>
          </wp:inline>
        </w:drawing>
      </w:r>
      <w:r w:rsidR="009271C1" w:rsidRPr="005F6711">
        <w:rPr>
          <w:b/>
          <w:lang w:val="en-US"/>
        </w:rPr>
        <w:tab/>
      </w:r>
      <w:r w:rsidR="009271C1">
        <w:rPr>
          <w:b/>
          <w:lang w:val="en-US"/>
        </w:rPr>
        <w:t xml:space="preserve">     </w:t>
      </w:r>
      <w:r>
        <w:rPr>
          <w:b/>
          <w:lang w:val="en-US"/>
        </w:rPr>
        <w:t xml:space="preserve">        </w:t>
      </w:r>
      <w:r w:rsidR="007762E3">
        <w:rPr>
          <w:b/>
          <w:lang w:val="en-US"/>
        </w:rPr>
        <w:t xml:space="preserve">    </w:t>
      </w:r>
      <w:r>
        <w:rPr>
          <w:b/>
          <w:lang w:val="en-US"/>
        </w:rPr>
        <w:t xml:space="preserve">   </w:t>
      </w:r>
      <w:r w:rsidR="009271C1">
        <w:rPr>
          <w:b/>
          <w:lang w:val="en-US"/>
        </w:rPr>
        <w:t xml:space="preserve">   </w:t>
      </w:r>
      <w:r>
        <w:rPr>
          <w:b/>
          <w:lang w:val="en-US"/>
        </w:rPr>
        <w:t xml:space="preserve">  </w:t>
      </w:r>
      <w:r w:rsidR="007762E3">
        <w:rPr>
          <w:b/>
          <w:lang w:val="en-US"/>
        </w:rPr>
        <w:t xml:space="preserve">         </w:t>
      </w:r>
      <w:r>
        <w:rPr>
          <w:b/>
          <w:lang w:val="en-US"/>
        </w:rPr>
        <w:t xml:space="preserve">  </w:t>
      </w:r>
      <w:r w:rsidR="00067F96">
        <w:rPr>
          <w:b/>
          <w:lang w:val="en-US"/>
        </w:rPr>
        <w:tab/>
      </w:r>
      <w:r w:rsidR="00067F96">
        <w:rPr>
          <w:b/>
          <w:lang w:val="en-US"/>
        </w:rPr>
        <w:tab/>
      </w:r>
      <w:r w:rsidR="00067F96">
        <w:rPr>
          <w:b/>
          <w:lang w:val="en-US"/>
        </w:rPr>
        <w:tab/>
      </w:r>
      <w:r w:rsidR="00067F96">
        <w:rPr>
          <w:b/>
          <w:lang w:val="en-US"/>
        </w:rPr>
        <w:tab/>
      </w:r>
      <w:r w:rsidR="00067F96">
        <w:rPr>
          <w:b/>
          <w:lang w:val="en-US"/>
        </w:rPr>
        <w:tab/>
      </w:r>
      <w:r w:rsidR="00067F96">
        <w:rPr>
          <w:b/>
          <w:lang w:val="en-US"/>
        </w:rPr>
        <w:tab/>
      </w:r>
      <w:r w:rsidR="007762E3">
        <w:rPr>
          <w:b/>
          <w:lang w:val="en-US"/>
        </w:rPr>
        <w:t xml:space="preserve">  </w:t>
      </w:r>
      <w:r>
        <w:rPr>
          <w:b/>
          <w:lang w:val="en-US"/>
        </w:rPr>
        <w:t xml:space="preserve">  </w:t>
      </w:r>
      <w:r w:rsidR="009271C1">
        <w:rPr>
          <w:b/>
          <w:lang w:val="en-US"/>
        </w:rPr>
        <w:t xml:space="preserve"> </w:t>
      </w:r>
      <w:r>
        <w:rPr>
          <w:b/>
          <w:noProof/>
          <w:lang w:val="en-US"/>
        </w:rPr>
        <w:drawing>
          <wp:inline distT="0" distB="0" distL="0" distR="0" wp14:anchorId="39DFD254" wp14:editId="5A94B15D">
            <wp:extent cx="1524000" cy="285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285750"/>
                    </a:xfrm>
                    <a:prstGeom prst="rect">
                      <a:avLst/>
                    </a:prstGeom>
                    <a:noFill/>
                    <a:ln>
                      <a:noFill/>
                    </a:ln>
                  </pic:spPr>
                </pic:pic>
              </a:graphicData>
            </a:graphic>
          </wp:inline>
        </w:drawing>
      </w:r>
      <w:r w:rsidR="007762E3">
        <w:rPr>
          <w:b/>
          <w:lang w:val="en-US"/>
        </w:rPr>
        <w:t xml:space="preserve">           </w:t>
      </w:r>
      <w:r>
        <w:rPr>
          <w:b/>
          <w:lang w:val="en-US"/>
        </w:rPr>
        <w:t xml:space="preserve">     </w:t>
      </w:r>
      <w:r w:rsidR="007762E3">
        <w:rPr>
          <w:b/>
          <w:lang w:val="en-US"/>
        </w:rPr>
        <w:t xml:space="preserve">             </w:t>
      </w:r>
      <w:r>
        <w:rPr>
          <w:b/>
          <w:lang w:val="en-US"/>
        </w:rPr>
        <w:t xml:space="preserve">    </w:t>
      </w:r>
    </w:p>
    <w:p w:rsidR="00067F96" w:rsidRDefault="0076052D" w:rsidP="00067F96">
      <w:pPr>
        <w:spacing w:after="0"/>
        <w:ind w:left="555"/>
        <w:rPr>
          <w:sz w:val="12"/>
          <w:szCs w:val="12"/>
          <w:lang w:val="en-US"/>
        </w:rPr>
      </w:pPr>
      <w:r w:rsidRPr="00413DE5">
        <w:rPr>
          <w:sz w:val="12"/>
          <w:szCs w:val="12"/>
          <w:lang w:val="en-US"/>
        </w:rPr>
        <w:t xml:space="preserve">Professional Building     </w:t>
      </w:r>
      <w:r w:rsidR="00F21C46" w:rsidRPr="00413DE5">
        <w:rPr>
          <w:sz w:val="12"/>
          <w:szCs w:val="12"/>
          <w:lang w:val="en-US"/>
        </w:rPr>
        <w:t xml:space="preserve">          </w:t>
      </w:r>
      <w:r w:rsidR="007762E3" w:rsidRPr="00413DE5">
        <w:rPr>
          <w:sz w:val="12"/>
          <w:szCs w:val="12"/>
          <w:lang w:val="en-US"/>
        </w:rPr>
        <w:t xml:space="preserve">               </w:t>
      </w:r>
      <w:r w:rsidR="00F21C46" w:rsidRPr="00413DE5">
        <w:rPr>
          <w:sz w:val="12"/>
          <w:szCs w:val="12"/>
          <w:lang w:val="en-US"/>
        </w:rPr>
        <w:t xml:space="preserve">                </w:t>
      </w:r>
      <w:r w:rsidR="009271C1" w:rsidRPr="00413DE5">
        <w:rPr>
          <w:sz w:val="12"/>
          <w:szCs w:val="12"/>
          <w:lang w:val="en-US"/>
        </w:rPr>
        <w:t xml:space="preserve">  </w:t>
      </w:r>
      <w:r w:rsidR="00413DE5">
        <w:rPr>
          <w:sz w:val="12"/>
          <w:szCs w:val="12"/>
          <w:lang w:val="en-US"/>
        </w:rPr>
        <w:tab/>
      </w:r>
      <w:r w:rsidR="00413DE5">
        <w:rPr>
          <w:sz w:val="12"/>
          <w:szCs w:val="12"/>
          <w:lang w:val="en-US"/>
        </w:rPr>
        <w:tab/>
        <w:t xml:space="preserve">                              </w:t>
      </w:r>
      <w:r w:rsidR="00067F96">
        <w:rPr>
          <w:sz w:val="12"/>
          <w:szCs w:val="12"/>
          <w:lang w:val="en-US"/>
        </w:rPr>
        <w:tab/>
      </w:r>
      <w:r w:rsidR="00067F96">
        <w:rPr>
          <w:sz w:val="12"/>
          <w:szCs w:val="12"/>
          <w:lang w:val="en-US"/>
        </w:rPr>
        <w:tab/>
      </w:r>
      <w:r w:rsidR="00067F96">
        <w:rPr>
          <w:sz w:val="12"/>
          <w:szCs w:val="12"/>
          <w:lang w:val="en-US"/>
        </w:rPr>
        <w:tab/>
      </w:r>
      <w:r w:rsidR="00067F96">
        <w:rPr>
          <w:sz w:val="12"/>
          <w:szCs w:val="12"/>
          <w:lang w:val="en-US"/>
        </w:rPr>
        <w:tab/>
      </w:r>
      <w:r w:rsidR="00067F96">
        <w:rPr>
          <w:sz w:val="12"/>
          <w:szCs w:val="12"/>
          <w:lang w:val="en-US"/>
        </w:rPr>
        <w:tab/>
        <w:t xml:space="preserve">                           </w:t>
      </w:r>
      <w:r w:rsidR="00413DE5">
        <w:rPr>
          <w:sz w:val="12"/>
          <w:szCs w:val="12"/>
          <w:lang w:val="en-US"/>
        </w:rPr>
        <w:tab/>
      </w:r>
      <w:r w:rsidR="009271C1" w:rsidRPr="00413DE5">
        <w:rPr>
          <w:sz w:val="12"/>
          <w:szCs w:val="12"/>
          <w:lang w:val="en-US"/>
        </w:rPr>
        <w:t>Waterdam Centre</w:t>
      </w:r>
      <w:r w:rsidR="00067F96">
        <w:rPr>
          <w:sz w:val="12"/>
          <w:szCs w:val="12"/>
          <w:lang w:val="en-US"/>
        </w:rPr>
        <w:t xml:space="preserve">             </w:t>
      </w:r>
      <w:r w:rsidR="009271C1" w:rsidRPr="00413DE5">
        <w:rPr>
          <w:sz w:val="12"/>
          <w:szCs w:val="12"/>
          <w:lang w:val="en-US"/>
        </w:rPr>
        <w:t>2414 Lytle Road</w:t>
      </w:r>
      <w:r w:rsidR="009271C1" w:rsidRPr="00413DE5">
        <w:rPr>
          <w:sz w:val="12"/>
          <w:szCs w:val="12"/>
          <w:lang w:val="en-US"/>
        </w:rPr>
        <w:tab/>
      </w:r>
      <w:r w:rsidR="00413DE5">
        <w:rPr>
          <w:sz w:val="12"/>
          <w:szCs w:val="12"/>
          <w:lang w:val="en-US"/>
        </w:rPr>
        <w:t xml:space="preserve">                                                     </w:t>
      </w:r>
      <w:r w:rsidR="009271C1" w:rsidRPr="00413DE5">
        <w:rPr>
          <w:sz w:val="12"/>
          <w:szCs w:val="12"/>
          <w:lang w:val="en-US"/>
        </w:rPr>
        <w:tab/>
      </w:r>
      <w:r w:rsidR="009271C1" w:rsidRPr="00413DE5">
        <w:rPr>
          <w:sz w:val="12"/>
          <w:szCs w:val="12"/>
          <w:lang w:val="en-US"/>
        </w:rPr>
        <w:tab/>
      </w:r>
      <w:r w:rsidR="007762E3" w:rsidRPr="00413DE5">
        <w:rPr>
          <w:sz w:val="12"/>
          <w:szCs w:val="12"/>
          <w:lang w:val="en-US"/>
        </w:rPr>
        <w:t xml:space="preserve">  </w:t>
      </w:r>
      <w:r w:rsidR="00413DE5">
        <w:rPr>
          <w:sz w:val="12"/>
          <w:szCs w:val="12"/>
          <w:lang w:val="en-US"/>
        </w:rPr>
        <w:t xml:space="preserve">                   </w:t>
      </w:r>
      <w:r w:rsidR="00067F96">
        <w:rPr>
          <w:sz w:val="12"/>
          <w:szCs w:val="12"/>
          <w:lang w:val="en-US"/>
        </w:rPr>
        <w:tab/>
      </w:r>
      <w:r w:rsidR="00067F96">
        <w:rPr>
          <w:sz w:val="12"/>
          <w:szCs w:val="12"/>
          <w:lang w:val="en-US"/>
        </w:rPr>
        <w:tab/>
      </w:r>
      <w:r w:rsidR="007762E3" w:rsidRPr="00413DE5">
        <w:rPr>
          <w:sz w:val="12"/>
          <w:szCs w:val="12"/>
          <w:lang w:val="en-US"/>
        </w:rPr>
        <w:t xml:space="preserve">             </w:t>
      </w:r>
      <w:r w:rsidR="009271C1" w:rsidRPr="00413DE5">
        <w:rPr>
          <w:sz w:val="12"/>
          <w:szCs w:val="12"/>
          <w:lang w:val="en-US"/>
        </w:rPr>
        <w:t xml:space="preserve">     </w:t>
      </w:r>
      <w:r w:rsidR="00F21C46" w:rsidRPr="00413DE5">
        <w:rPr>
          <w:sz w:val="12"/>
          <w:szCs w:val="12"/>
          <w:lang w:val="en-US"/>
        </w:rPr>
        <w:t xml:space="preserve">    </w:t>
      </w:r>
      <w:r w:rsidR="00067F96">
        <w:rPr>
          <w:sz w:val="12"/>
          <w:szCs w:val="12"/>
          <w:lang w:val="en-US"/>
        </w:rPr>
        <w:tab/>
      </w:r>
      <w:r w:rsidR="00067F96">
        <w:rPr>
          <w:sz w:val="12"/>
          <w:szCs w:val="12"/>
          <w:lang w:val="en-US"/>
        </w:rPr>
        <w:tab/>
      </w:r>
      <w:r w:rsidR="00067F96">
        <w:rPr>
          <w:sz w:val="12"/>
          <w:szCs w:val="12"/>
          <w:lang w:val="en-US"/>
        </w:rPr>
        <w:tab/>
      </w:r>
      <w:r w:rsidR="00067F96">
        <w:rPr>
          <w:sz w:val="12"/>
          <w:szCs w:val="12"/>
          <w:lang w:val="en-US"/>
        </w:rPr>
        <w:tab/>
      </w:r>
      <w:r w:rsidR="00067F96">
        <w:rPr>
          <w:sz w:val="12"/>
          <w:szCs w:val="12"/>
          <w:lang w:val="en-US"/>
        </w:rPr>
        <w:tab/>
        <w:t xml:space="preserve">             </w:t>
      </w:r>
      <w:r w:rsidR="009271C1" w:rsidRPr="00413DE5">
        <w:rPr>
          <w:sz w:val="12"/>
          <w:szCs w:val="12"/>
          <w:lang w:val="en-US"/>
        </w:rPr>
        <w:t xml:space="preserve">    4143 Washington Road</w:t>
      </w:r>
      <w:r w:rsidR="009271C1" w:rsidRPr="00413DE5">
        <w:rPr>
          <w:sz w:val="12"/>
          <w:szCs w:val="12"/>
          <w:lang w:val="en-US"/>
        </w:rPr>
        <w:tab/>
      </w:r>
      <w:r w:rsidR="00F21C46" w:rsidRPr="00413DE5">
        <w:rPr>
          <w:sz w:val="12"/>
          <w:szCs w:val="12"/>
          <w:lang w:val="en-US"/>
        </w:rPr>
        <w:t xml:space="preserve">       </w:t>
      </w:r>
      <w:r w:rsidR="007762E3" w:rsidRPr="00413DE5">
        <w:rPr>
          <w:sz w:val="12"/>
          <w:szCs w:val="12"/>
          <w:lang w:val="en-US"/>
        </w:rPr>
        <w:t xml:space="preserve"> </w:t>
      </w:r>
      <w:r w:rsidR="00413DE5">
        <w:rPr>
          <w:sz w:val="12"/>
          <w:szCs w:val="12"/>
          <w:lang w:val="en-US"/>
        </w:rPr>
        <w:t xml:space="preserve">                                       </w:t>
      </w:r>
      <w:r w:rsidR="007762E3" w:rsidRPr="00413DE5">
        <w:rPr>
          <w:sz w:val="12"/>
          <w:szCs w:val="12"/>
          <w:lang w:val="en-US"/>
        </w:rPr>
        <w:t xml:space="preserve">  </w:t>
      </w:r>
      <w:r w:rsidR="00067F96">
        <w:rPr>
          <w:sz w:val="12"/>
          <w:szCs w:val="12"/>
          <w:lang w:val="en-US"/>
        </w:rPr>
        <w:t xml:space="preserve">       </w:t>
      </w:r>
      <w:r w:rsidR="007762E3" w:rsidRPr="00413DE5">
        <w:rPr>
          <w:sz w:val="12"/>
          <w:szCs w:val="12"/>
          <w:lang w:val="en-US"/>
        </w:rPr>
        <w:t xml:space="preserve">         </w:t>
      </w:r>
      <w:r w:rsidR="00067F96">
        <w:rPr>
          <w:sz w:val="12"/>
          <w:szCs w:val="12"/>
          <w:lang w:val="en-US"/>
        </w:rPr>
        <w:t xml:space="preserve">    </w:t>
      </w:r>
      <w:r w:rsidR="00EE312A">
        <w:rPr>
          <w:sz w:val="12"/>
          <w:szCs w:val="12"/>
          <w:lang w:val="en-US"/>
        </w:rPr>
        <w:t xml:space="preserve">                  </w:t>
      </w:r>
      <w:r w:rsidR="00EE312A" w:rsidRPr="00413DE5">
        <w:rPr>
          <w:sz w:val="12"/>
          <w:szCs w:val="12"/>
          <w:lang w:val="en-US"/>
        </w:rPr>
        <w:t>Bethel Park, PA 15102</w:t>
      </w:r>
      <w:r w:rsidR="00EE312A" w:rsidRPr="00413DE5">
        <w:rPr>
          <w:sz w:val="12"/>
          <w:szCs w:val="12"/>
          <w:lang w:val="en-US"/>
        </w:rPr>
        <w:tab/>
      </w:r>
      <w:r w:rsidR="00EE312A" w:rsidRPr="00413DE5">
        <w:rPr>
          <w:sz w:val="12"/>
          <w:szCs w:val="12"/>
          <w:lang w:val="en-US"/>
        </w:rPr>
        <w:tab/>
        <w:t xml:space="preserve">    </w:t>
      </w:r>
      <w:r w:rsidR="00EE312A">
        <w:rPr>
          <w:sz w:val="12"/>
          <w:szCs w:val="12"/>
          <w:lang w:val="en-US"/>
        </w:rPr>
        <w:t xml:space="preserve">                                                 </w:t>
      </w:r>
      <w:r w:rsidR="00EE312A" w:rsidRPr="00413DE5">
        <w:rPr>
          <w:sz w:val="12"/>
          <w:szCs w:val="12"/>
          <w:lang w:val="en-US"/>
        </w:rPr>
        <w:t xml:space="preserve">                  </w:t>
      </w:r>
      <w:r w:rsidR="00067F96">
        <w:rPr>
          <w:sz w:val="12"/>
          <w:szCs w:val="12"/>
          <w:lang w:val="en-US"/>
        </w:rPr>
        <w:tab/>
      </w:r>
      <w:r w:rsidR="00067F96">
        <w:rPr>
          <w:sz w:val="12"/>
          <w:szCs w:val="12"/>
          <w:lang w:val="en-US"/>
        </w:rPr>
        <w:tab/>
      </w:r>
      <w:r w:rsidR="00067F96">
        <w:rPr>
          <w:sz w:val="12"/>
          <w:szCs w:val="12"/>
          <w:lang w:val="en-US"/>
        </w:rPr>
        <w:tab/>
      </w:r>
      <w:r w:rsidR="00067F96">
        <w:rPr>
          <w:sz w:val="12"/>
          <w:szCs w:val="12"/>
          <w:lang w:val="en-US"/>
        </w:rPr>
        <w:tab/>
      </w:r>
      <w:r w:rsidR="00067F96">
        <w:rPr>
          <w:sz w:val="12"/>
          <w:szCs w:val="12"/>
          <w:lang w:val="en-US"/>
        </w:rPr>
        <w:tab/>
      </w:r>
      <w:r w:rsidR="00067F96">
        <w:rPr>
          <w:sz w:val="12"/>
          <w:szCs w:val="12"/>
          <w:lang w:val="en-US"/>
        </w:rPr>
        <w:tab/>
        <w:t xml:space="preserve">                    McMurray, PA 15317</w:t>
      </w:r>
    </w:p>
    <w:p w:rsidR="00EE312A" w:rsidRDefault="00EE312A" w:rsidP="00067F96">
      <w:pPr>
        <w:spacing w:after="0"/>
        <w:ind w:left="555"/>
        <w:rPr>
          <w:sz w:val="12"/>
          <w:szCs w:val="12"/>
          <w:lang w:val="en-US"/>
        </w:rPr>
      </w:pPr>
      <w:r w:rsidRPr="00413DE5">
        <w:rPr>
          <w:sz w:val="12"/>
          <w:szCs w:val="12"/>
          <w:lang w:val="en-US"/>
        </w:rPr>
        <w:t>412.835.4887</w:t>
      </w:r>
      <w:r w:rsidRPr="00413DE5">
        <w:rPr>
          <w:sz w:val="12"/>
          <w:szCs w:val="12"/>
          <w:lang w:val="en-US"/>
        </w:rPr>
        <w:tab/>
        <w:t xml:space="preserve">           </w:t>
      </w:r>
      <w:r>
        <w:rPr>
          <w:sz w:val="12"/>
          <w:szCs w:val="12"/>
          <w:lang w:val="en-US"/>
        </w:rPr>
        <w:t xml:space="preserve">                                                                </w:t>
      </w:r>
      <w:r w:rsidRPr="00413DE5">
        <w:rPr>
          <w:sz w:val="12"/>
          <w:szCs w:val="12"/>
          <w:lang w:val="en-US"/>
        </w:rPr>
        <w:t xml:space="preserve">            </w:t>
      </w:r>
      <w:r w:rsidRPr="00413DE5">
        <w:rPr>
          <w:sz w:val="12"/>
          <w:szCs w:val="12"/>
          <w:lang w:val="en-US"/>
        </w:rPr>
        <w:tab/>
        <w:t xml:space="preserve">           </w:t>
      </w:r>
      <w:r>
        <w:rPr>
          <w:sz w:val="12"/>
          <w:szCs w:val="12"/>
          <w:lang w:val="en-US"/>
        </w:rPr>
        <w:t xml:space="preserve">  </w:t>
      </w:r>
      <w:r w:rsidRPr="00413DE5">
        <w:rPr>
          <w:sz w:val="12"/>
          <w:szCs w:val="12"/>
          <w:lang w:val="en-US"/>
        </w:rPr>
        <w:t xml:space="preserve">               </w:t>
      </w:r>
      <w:r w:rsidR="00067F96">
        <w:rPr>
          <w:sz w:val="12"/>
          <w:szCs w:val="12"/>
          <w:lang w:val="en-US"/>
        </w:rPr>
        <w:t xml:space="preserve"> </w:t>
      </w:r>
      <w:r w:rsidR="00067F96">
        <w:rPr>
          <w:sz w:val="12"/>
          <w:szCs w:val="12"/>
          <w:lang w:val="en-US"/>
        </w:rPr>
        <w:tab/>
      </w:r>
      <w:r w:rsidR="00067F96">
        <w:rPr>
          <w:sz w:val="12"/>
          <w:szCs w:val="12"/>
          <w:lang w:val="en-US"/>
        </w:rPr>
        <w:tab/>
      </w:r>
      <w:r w:rsidR="00067F96">
        <w:rPr>
          <w:sz w:val="12"/>
          <w:szCs w:val="12"/>
          <w:lang w:val="en-US"/>
        </w:rPr>
        <w:tab/>
      </w:r>
      <w:r w:rsidR="00067F96">
        <w:rPr>
          <w:sz w:val="12"/>
          <w:szCs w:val="12"/>
          <w:lang w:val="en-US"/>
        </w:rPr>
        <w:tab/>
      </w:r>
      <w:r w:rsidR="00067F96">
        <w:rPr>
          <w:sz w:val="12"/>
          <w:szCs w:val="12"/>
          <w:lang w:val="en-US"/>
        </w:rPr>
        <w:tab/>
        <w:t xml:space="preserve">                                </w:t>
      </w:r>
      <w:r w:rsidRPr="00413DE5">
        <w:rPr>
          <w:sz w:val="12"/>
          <w:szCs w:val="12"/>
          <w:lang w:val="en-US"/>
        </w:rPr>
        <w:t xml:space="preserve">  724.969.0987</w:t>
      </w:r>
      <w:r w:rsidRPr="00413DE5">
        <w:rPr>
          <w:sz w:val="12"/>
          <w:szCs w:val="12"/>
          <w:lang w:val="en-US"/>
        </w:rPr>
        <w:tab/>
      </w:r>
      <w:r w:rsidRPr="00413DE5">
        <w:rPr>
          <w:sz w:val="12"/>
          <w:szCs w:val="12"/>
          <w:lang w:val="en-US"/>
        </w:rPr>
        <w:tab/>
      </w:r>
      <w:r w:rsidRPr="00413DE5">
        <w:rPr>
          <w:sz w:val="12"/>
          <w:szCs w:val="12"/>
          <w:lang w:val="en-US"/>
        </w:rPr>
        <w:tab/>
      </w:r>
    </w:p>
    <w:p w:rsidR="00EE312A" w:rsidRPr="00EE312A" w:rsidRDefault="00EE312A" w:rsidP="00EE312A">
      <w:pPr>
        <w:spacing w:after="0"/>
        <w:jc w:val="center"/>
        <w:rPr>
          <w:b/>
          <w:sz w:val="18"/>
          <w:szCs w:val="18"/>
          <w:lang w:val="en-US"/>
        </w:rPr>
      </w:pPr>
      <w:r>
        <w:rPr>
          <w:b/>
          <w:sz w:val="18"/>
          <w:szCs w:val="18"/>
          <w:lang w:val="en-US"/>
        </w:rPr>
        <w:t>HIPAA INFORMATION AND CONSENT FORM</w:t>
      </w:r>
    </w:p>
    <w:p w:rsidR="00EE312A" w:rsidRDefault="00EE312A" w:rsidP="00EE312A">
      <w:pPr>
        <w:spacing w:after="0"/>
        <w:jc w:val="both"/>
        <w:rPr>
          <w:sz w:val="16"/>
          <w:szCs w:val="16"/>
          <w:lang w:val="en-US"/>
        </w:rPr>
      </w:pPr>
      <w:r>
        <w:rPr>
          <w:sz w:val="16"/>
          <w:szCs w:val="16"/>
          <w:lang w:val="en-US"/>
        </w:rPr>
        <w:t>The Health Insurance Portability and Accountability Act (HIPAA) provide</w:t>
      </w:r>
      <w:r w:rsidR="00A731ED">
        <w:rPr>
          <w:sz w:val="16"/>
          <w:szCs w:val="16"/>
          <w:lang w:val="en-US"/>
        </w:rPr>
        <w:t xml:space="preserve"> </w:t>
      </w:r>
      <w:r>
        <w:rPr>
          <w:sz w:val="16"/>
          <w:szCs w:val="16"/>
          <w:lang w:val="en-US"/>
        </w:rPr>
        <w:t xml:space="preserve">safeguards to protect your privacy.  Implementation officially began April 14, 2003.  There are rules and restrictions on who may see or be notified of your Protected Health Information (PHI).  These restrictions do not include the normal interchange of information necessary to provide you with office services.  HIPAA provides certain rights and protections to you as a patient.  We balance these needs with our goal of providing you with quality professional service and care.  Additional information is available from the </w:t>
      </w:r>
      <w:r w:rsidR="003E56E0">
        <w:rPr>
          <w:sz w:val="16"/>
          <w:szCs w:val="16"/>
          <w:lang w:val="en-US"/>
        </w:rPr>
        <w:t>U</w:t>
      </w:r>
      <w:r>
        <w:rPr>
          <w:sz w:val="16"/>
          <w:szCs w:val="16"/>
          <w:lang w:val="en-US"/>
        </w:rPr>
        <w:t xml:space="preserve">.S. Department of Health and Human Services. </w:t>
      </w:r>
      <w:hyperlink r:id="rId8" w:history="1">
        <w:r w:rsidR="00A731ED" w:rsidRPr="00EA6EBB">
          <w:rPr>
            <w:rStyle w:val="Hyperlink"/>
            <w:sz w:val="16"/>
            <w:szCs w:val="16"/>
            <w:lang w:val="en-US"/>
          </w:rPr>
          <w:t>www.hhs.gov</w:t>
        </w:r>
      </w:hyperlink>
      <w:r>
        <w:rPr>
          <w:sz w:val="16"/>
          <w:szCs w:val="16"/>
          <w:lang w:val="en-US"/>
        </w:rPr>
        <w:t>.</w:t>
      </w:r>
    </w:p>
    <w:p w:rsidR="00EE312A" w:rsidRDefault="00EE312A" w:rsidP="00EE312A">
      <w:pPr>
        <w:spacing w:after="0"/>
        <w:jc w:val="both"/>
        <w:rPr>
          <w:sz w:val="16"/>
          <w:szCs w:val="16"/>
          <w:lang w:val="en-US"/>
        </w:rPr>
      </w:pPr>
      <w:r>
        <w:rPr>
          <w:sz w:val="16"/>
          <w:szCs w:val="16"/>
          <w:lang w:val="en-US"/>
        </w:rPr>
        <w:t>We have adopted the following policies:</w:t>
      </w:r>
    </w:p>
    <w:p w:rsidR="00EE312A" w:rsidRDefault="00EE312A" w:rsidP="00EE312A">
      <w:pPr>
        <w:pStyle w:val="ListParagraph"/>
        <w:numPr>
          <w:ilvl w:val="0"/>
          <w:numId w:val="2"/>
        </w:numPr>
        <w:spacing w:after="0"/>
        <w:jc w:val="both"/>
        <w:rPr>
          <w:sz w:val="16"/>
          <w:szCs w:val="16"/>
          <w:lang w:val="en-US"/>
        </w:rPr>
      </w:pPr>
      <w:r>
        <w:rPr>
          <w:sz w:val="16"/>
          <w:szCs w:val="16"/>
          <w:lang w:val="en-US"/>
        </w:rPr>
        <w:t>Patient information will be kept confidential except as is necessary to provide services to ensure that all administrative matters related to your care are handled appropriately.  This includes the sharing of information with other healthcare providers</w:t>
      </w:r>
      <w:r w:rsidR="005E004F">
        <w:rPr>
          <w:sz w:val="16"/>
          <w:szCs w:val="16"/>
          <w:lang w:val="en-US"/>
        </w:rPr>
        <w:t>, laboratories, health insurance payers as is necessary and appropriate for your care.  Patient records will not be available to persons other than our staff.  You agree to the normal procedures utilized within the office for the handling of patient records, PHI and other documents or information.</w:t>
      </w:r>
    </w:p>
    <w:p w:rsidR="005E004F" w:rsidRDefault="009E7755" w:rsidP="00EE312A">
      <w:pPr>
        <w:pStyle w:val="ListParagraph"/>
        <w:numPr>
          <w:ilvl w:val="0"/>
          <w:numId w:val="2"/>
        </w:numPr>
        <w:spacing w:after="0"/>
        <w:jc w:val="both"/>
        <w:rPr>
          <w:sz w:val="16"/>
          <w:szCs w:val="16"/>
          <w:lang w:val="en-US"/>
        </w:rPr>
      </w:pPr>
      <w:r>
        <w:rPr>
          <w:sz w:val="16"/>
          <w:szCs w:val="16"/>
          <w:lang w:val="en-US"/>
        </w:rPr>
        <w:t xml:space="preserve">It is the policy </w:t>
      </w:r>
      <w:r w:rsidR="003E56E0">
        <w:rPr>
          <w:sz w:val="16"/>
          <w:szCs w:val="16"/>
          <w:lang w:val="en-US"/>
        </w:rPr>
        <w:t>o</w:t>
      </w:r>
      <w:r>
        <w:rPr>
          <w:sz w:val="16"/>
          <w:szCs w:val="16"/>
          <w:lang w:val="en-US"/>
        </w:rPr>
        <w:t>f this office to remind patients of their appointments.  We do this by telephone, e-mail, U.S. mail or by any means convenient for the practice and/or as requested by you.  We may send you other communications informing you of changes to the office policy and new technology that you might find valuable.</w:t>
      </w:r>
    </w:p>
    <w:p w:rsidR="009E7755" w:rsidRDefault="009E7755" w:rsidP="00EE312A">
      <w:pPr>
        <w:pStyle w:val="ListParagraph"/>
        <w:numPr>
          <w:ilvl w:val="0"/>
          <w:numId w:val="2"/>
        </w:numPr>
        <w:spacing w:after="0"/>
        <w:jc w:val="both"/>
        <w:rPr>
          <w:sz w:val="16"/>
          <w:szCs w:val="16"/>
          <w:lang w:val="en-US"/>
        </w:rPr>
      </w:pPr>
      <w:r>
        <w:rPr>
          <w:sz w:val="16"/>
          <w:szCs w:val="16"/>
          <w:lang w:val="en-US"/>
        </w:rPr>
        <w:t>The practice uses a number of vendors in the conduct of business.  These vendors may have access to PHI but must agree to abide by the confidentiality rules of HIPAA.</w:t>
      </w:r>
    </w:p>
    <w:p w:rsidR="009E7755" w:rsidRDefault="009E7755" w:rsidP="00EE312A">
      <w:pPr>
        <w:pStyle w:val="ListParagraph"/>
        <w:numPr>
          <w:ilvl w:val="0"/>
          <w:numId w:val="2"/>
        </w:numPr>
        <w:spacing w:after="0"/>
        <w:jc w:val="both"/>
        <w:rPr>
          <w:sz w:val="16"/>
          <w:szCs w:val="16"/>
          <w:lang w:val="en-US"/>
        </w:rPr>
      </w:pPr>
      <w:r>
        <w:rPr>
          <w:sz w:val="16"/>
          <w:szCs w:val="16"/>
          <w:lang w:val="en-US"/>
        </w:rPr>
        <w:t xml:space="preserve">You understand and agree to inspections of the office and review of documents which may include PHI by government </w:t>
      </w:r>
      <w:r w:rsidR="00617399">
        <w:rPr>
          <w:sz w:val="16"/>
          <w:szCs w:val="16"/>
          <w:lang w:val="en-US"/>
        </w:rPr>
        <w:t>agen</w:t>
      </w:r>
      <w:r>
        <w:rPr>
          <w:sz w:val="16"/>
          <w:szCs w:val="16"/>
          <w:lang w:val="en-US"/>
        </w:rPr>
        <w:t>c</w:t>
      </w:r>
      <w:r w:rsidR="00617399">
        <w:rPr>
          <w:sz w:val="16"/>
          <w:szCs w:val="16"/>
          <w:lang w:val="en-US"/>
        </w:rPr>
        <w:t>i</w:t>
      </w:r>
      <w:r>
        <w:rPr>
          <w:sz w:val="16"/>
          <w:szCs w:val="16"/>
          <w:lang w:val="en-US"/>
        </w:rPr>
        <w:t>es or insurance payers in normal performance of their duties.</w:t>
      </w:r>
    </w:p>
    <w:p w:rsidR="009E7755" w:rsidRDefault="009E7755" w:rsidP="00EE312A">
      <w:pPr>
        <w:pStyle w:val="ListParagraph"/>
        <w:numPr>
          <w:ilvl w:val="0"/>
          <w:numId w:val="2"/>
        </w:numPr>
        <w:spacing w:after="0"/>
        <w:jc w:val="both"/>
        <w:rPr>
          <w:sz w:val="16"/>
          <w:szCs w:val="16"/>
          <w:lang w:val="en-US"/>
        </w:rPr>
      </w:pPr>
      <w:r>
        <w:rPr>
          <w:sz w:val="16"/>
          <w:szCs w:val="16"/>
          <w:lang w:val="en-US"/>
        </w:rPr>
        <w:t>You agree to bring any concerns and com</w:t>
      </w:r>
      <w:r w:rsidR="00617399">
        <w:rPr>
          <w:sz w:val="16"/>
          <w:szCs w:val="16"/>
          <w:lang w:val="en-US"/>
        </w:rPr>
        <w:t>p</w:t>
      </w:r>
      <w:r>
        <w:rPr>
          <w:sz w:val="16"/>
          <w:szCs w:val="16"/>
          <w:lang w:val="en-US"/>
        </w:rPr>
        <w:t>laints regarding privacy to the attention of the office manager or doctor.</w:t>
      </w:r>
    </w:p>
    <w:p w:rsidR="009E7755" w:rsidRDefault="00812CD1" w:rsidP="00EE312A">
      <w:pPr>
        <w:pStyle w:val="ListParagraph"/>
        <w:numPr>
          <w:ilvl w:val="0"/>
          <w:numId w:val="2"/>
        </w:numPr>
        <w:spacing w:after="0"/>
        <w:jc w:val="both"/>
        <w:rPr>
          <w:sz w:val="16"/>
          <w:szCs w:val="16"/>
          <w:lang w:val="en-US"/>
        </w:rPr>
      </w:pPr>
      <w:r>
        <w:rPr>
          <w:sz w:val="16"/>
          <w:szCs w:val="16"/>
          <w:lang w:val="en-US"/>
        </w:rPr>
        <w:t>Your confidential information will not be used for the purposes of marketing or advertising of products, goods, or services.</w:t>
      </w:r>
    </w:p>
    <w:p w:rsidR="00812CD1" w:rsidRDefault="00812CD1" w:rsidP="00EE312A">
      <w:pPr>
        <w:pStyle w:val="ListParagraph"/>
        <w:numPr>
          <w:ilvl w:val="0"/>
          <w:numId w:val="2"/>
        </w:numPr>
        <w:spacing w:after="0"/>
        <w:jc w:val="both"/>
        <w:rPr>
          <w:sz w:val="16"/>
          <w:szCs w:val="16"/>
          <w:lang w:val="en-US"/>
        </w:rPr>
      </w:pPr>
      <w:r>
        <w:rPr>
          <w:sz w:val="16"/>
          <w:szCs w:val="16"/>
          <w:lang w:val="en-US"/>
        </w:rPr>
        <w:t>We agree to provide patients with access to their records in accordance with state and federal laws.</w:t>
      </w:r>
    </w:p>
    <w:p w:rsidR="00812CD1" w:rsidRDefault="00812CD1" w:rsidP="00EE312A">
      <w:pPr>
        <w:pStyle w:val="ListParagraph"/>
        <w:numPr>
          <w:ilvl w:val="0"/>
          <w:numId w:val="2"/>
        </w:numPr>
        <w:spacing w:after="0"/>
        <w:jc w:val="both"/>
        <w:rPr>
          <w:sz w:val="16"/>
          <w:szCs w:val="16"/>
          <w:lang w:val="en-US"/>
        </w:rPr>
      </w:pPr>
      <w:r>
        <w:rPr>
          <w:sz w:val="16"/>
          <w:szCs w:val="16"/>
          <w:lang w:val="en-US"/>
        </w:rPr>
        <w:t>We may change, add, delete, or modify any of the prov</w:t>
      </w:r>
      <w:r w:rsidR="00617399">
        <w:rPr>
          <w:sz w:val="16"/>
          <w:szCs w:val="16"/>
          <w:lang w:val="en-US"/>
        </w:rPr>
        <w:t>i</w:t>
      </w:r>
      <w:r>
        <w:rPr>
          <w:sz w:val="16"/>
          <w:szCs w:val="16"/>
          <w:lang w:val="en-US"/>
        </w:rPr>
        <w:t>sions to better serve the needs of both the patient and the practice.</w:t>
      </w:r>
    </w:p>
    <w:p w:rsidR="00812CD1" w:rsidRDefault="00812CD1" w:rsidP="00EE312A">
      <w:pPr>
        <w:pStyle w:val="ListParagraph"/>
        <w:numPr>
          <w:ilvl w:val="0"/>
          <w:numId w:val="2"/>
        </w:numPr>
        <w:spacing w:after="0"/>
        <w:jc w:val="both"/>
        <w:rPr>
          <w:sz w:val="16"/>
          <w:szCs w:val="16"/>
          <w:lang w:val="en-US"/>
        </w:rPr>
      </w:pPr>
      <w:r>
        <w:rPr>
          <w:sz w:val="16"/>
          <w:szCs w:val="16"/>
          <w:lang w:val="en-US"/>
        </w:rPr>
        <w:t>You have the right to request restrictions in the use of your PHI and to request change in certain policies used within the office concerning your PHI.  However, we are not obligated to alter internal policies to conform to your request.</w:t>
      </w:r>
    </w:p>
    <w:p w:rsidR="00812CD1" w:rsidRDefault="00812CD1" w:rsidP="00812CD1">
      <w:pPr>
        <w:spacing w:after="0"/>
        <w:jc w:val="both"/>
        <w:rPr>
          <w:sz w:val="16"/>
          <w:szCs w:val="16"/>
          <w:lang w:val="en-US"/>
        </w:rPr>
      </w:pPr>
    </w:p>
    <w:p w:rsidR="00812CD1" w:rsidRDefault="00812CD1" w:rsidP="00812CD1">
      <w:pPr>
        <w:spacing w:after="0"/>
        <w:jc w:val="both"/>
        <w:rPr>
          <w:sz w:val="12"/>
          <w:szCs w:val="12"/>
          <w:lang w:val="en-US"/>
        </w:rPr>
      </w:pPr>
      <w:r>
        <w:rPr>
          <w:sz w:val="16"/>
          <w:szCs w:val="16"/>
          <w:lang w:val="en-US"/>
        </w:rPr>
        <w:t>I ______________________________________________________________</w:t>
      </w:r>
      <w:r w:rsidRPr="00812CD1">
        <w:rPr>
          <w:sz w:val="12"/>
          <w:szCs w:val="12"/>
          <w:lang w:val="en-US"/>
        </w:rPr>
        <w:t>hereby consent and acknowledge my agreement to the terms set forth above and subsequent changes in office policy.</w:t>
      </w:r>
    </w:p>
    <w:p w:rsidR="00090F65" w:rsidRDefault="00090F65" w:rsidP="00812CD1">
      <w:pPr>
        <w:spacing w:after="0"/>
        <w:jc w:val="both"/>
        <w:rPr>
          <w:sz w:val="12"/>
          <w:szCs w:val="12"/>
          <w:lang w:val="en-US"/>
        </w:rPr>
      </w:pPr>
    </w:p>
    <w:p w:rsidR="00090F65" w:rsidRDefault="00090F65" w:rsidP="00812CD1">
      <w:pPr>
        <w:spacing w:after="0"/>
        <w:jc w:val="both"/>
        <w:rPr>
          <w:sz w:val="12"/>
          <w:szCs w:val="12"/>
          <w:lang w:val="en-US"/>
        </w:rPr>
      </w:pPr>
      <w:r>
        <w:rPr>
          <w:sz w:val="12"/>
          <w:szCs w:val="12"/>
          <w:lang w:val="en-US"/>
        </w:rPr>
        <w:t>____________________________________________________________________________________________________________________________</w:t>
      </w:r>
      <w:r>
        <w:rPr>
          <w:sz w:val="12"/>
          <w:szCs w:val="12"/>
          <w:lang w:val="en-US"/>
        </w:rPr>
        <w:tab/>
        <w:t>________________________________________________</w:t>
      </w:r>
    </w:p>
    <w:p w:rsidR="00090F65" w:rsidRDefault="00090F65" w:rsidP="00812CD1">
      <w:pPr>
        <w:spacing w:after="0"/>
        <w:jc w:val="both"/>
        <w:rPr>
          <w:sz w:val="12"/>
          <w:szCs w:val="12"/>
          <w:lang w:val="en-US"/>
        </w:rPr>
      </w:pPr>
      <w:r>
        <w:rPr>
          <w:sz w:val="12"/>
          <w:szCs w:val="12"/>
          <w:lang w:val="en-US"/>
        </w:rPr>
        <w:t>Signature</w:t>
      </w:r>
      <w:r>
        <w:rPr>
          <w:sz w:val="12"/>
          <w:szCs w:val="12"/>
          <w:lang w:val="en-US"/>
        </w:rPr>
        <w:tab/>
      </w:r>
      <w:r>
        <w:rPr>
          <w:sz w:val="12"/>
          <w:szCs w:val="12"/>
          <w:lang w:val="en-US"/>
        </w:rPr>
        <w:tab/>
      </w:r>
      <w:r>
        <w:rPr>
          <w:sz w:val="12"/>
          <w:szCs w:val="12"/>
          <w:lang w:val="en-US"/>
        </w:rPr>
        <w:tab/>
      </w:r>
      <w:r>
        <w:rPr>
          <w:sz w:val="12"/>
          <w:szCs w:val="12"/>
          <w:lang w:val="en-US"/>
        </w:rPr>
        <w:tab/>
      </w:r>
      <w:r>
        <w:rPr>
          <w:sz w:val="12"/>
          <w:szCs w:val="12"/>
          <w:lang w:val="en-US"/>
        </w:rPr>
        <w:tab/>
      </w:r>
      <w:r>
        <w:rPr>
          <w:sz w:val="12"/>
          <w:szCs w:val="12"/>
          <w:lang w:val="en-US"/>
        </w:rPr>
        <w:tab/>
      </w:r>
      <w:r>
        <w:rPr>
          <w:sz w:val="12"/>
          <w:szCs w:val="12"/>
          <w:lang w:val="en-US"/>
        </w:rPr>
        <w:tab/>
      </w:r>
      <w:r>
        <w:rPr>
          <w:sz w:val="12"/>
          <w:szCs w:val="12"/>
          <w:lang w:val="en-US"/>
        </w:rPr>
        <w:tab/>
      </w:r>
      <w:r>
        <w:rPr>
          <w:sz w:val="12"/>
          <w:szCs w:val="12"/>
          <w:lang w:val="en-US"/>
        </w:rPr>
        <w:tab/>
      </w:r>
      <w:r>
        <w:rPr>
          <w:sz w:val="12"/>
          <w:szCs w:val="12"/>
          <w:lang w:val="en-US"/>
        </w:rPr>
        <w:tab/>
      </w:r>
      <w:r>
        <w:rPr>
          <w:sz w:val="12"/>
          <w:szCs w:val="12"/>
          <w:lang w:val="en-US"/>
        </w:rPr>
        <w:tab/>
        <w:t>Date</w:t>
      </w:r>
    </w:p>
    <w:p w:rsidR="00090F65" w:rsidRPr="007C7B30" w:rsidRDefault="00090F65" w:rsidP="007C7B30">
      <w:pPr>
        <w:pBdr>
          <w:top w:val="single" w:sz="4" w:space="1" w:color="auto"/>
          <w:left w:val="single" w:sz="4" w:space="4" w:color="auto"/>
          <w:bottom w:val="single" w:sz="4" w:space="1" w:color="auto"/>
          <w:right w:val="single" w:sz="4" w:space="4" w:color="auto"/>
        </w:pBdr>
        <w:spacing w:after="0"/>
        <w:jc w:val="center"/>
        <w:rPr>
          <w:b/>
          <w:lang w:val="en-US"/>
        </w:rPr>
      </w:pPr>
      <w:r w:rsidRPr="007C7B30">
        <w:rPr>
          <w:b/>
          <w:lang w:val="en-US"/>
        </w:rPr>
        <w:t>Financial Policy</w:t>
      </w:r>
    </w:p>
    <w:p w:rsidR="00090F65" w:rsidRPr="007C7B30" w:rsidRDefault="00090F65" w:rsidP="007C7B30">
      <w:pPr>
        <w:pBdr>
          <w:top w:val="single" w:sz="4" w:space="1" w:color="auto"/>
          <w:left w:val="single" w:sz="4" w:space="4" w:color="auto"/>
          <w:bottom w:val="single" w:sz="4" w:space="1" w:color="auto"/>
          <w:right w:val="single" w:sz="4" w:space="4" w:color="auto"/>
        </w:pBdr>
        <w:spacing w:after="0"/>
        <w:jc w:val="both"/>
        <w:rPr>
          <w:sz w:val="16"/>
          <w:szCs w:val="16"/>
          <w:lang w:val="en-US"/>
        </w:rPr>
      </w:pPr>
      <w:r>
        <w:rPr>
          <w:b/>
          <w:sz w:val="16"/>
          <w:szCs w:val="16"/>
          <w:lang w:val="en-US"/>
        </w:rPr>
        <w:t>Do you have insurance?</w:t>
      </w:r>
      <w:r>
        <w:rPr>
          <w:sz w:val="16"/>
          <w:szCs w:val="16"/>
          <w:lang w:val="en-US"/>
        </w:rPr>
        <w:tab/>
        <w:t xml:space="preserve">If you have insurance, let us first clear up some common misconceptions.  Most traditional plans are not designed to pay 100% of your dental costs.  They are intended to pay a % of the costs.  Additionally deductibles must be paid by the patients before insurance benefits begin.  These copays and deductibles are negotiated by your employer and insurance company.  </w:t>
      </w:r>
      <w:r w:rsidR="000E5447">
        <w:rPr>
          <w:sz w:val="16"/>
          <w:szCs w:val="16"/>
          <w:lang w:val="en-US"/>
        </w:rPr>
        <w:t xml:space="preserve">We are not involved in these negotiations so if your dental benefits did not pay or paid little toward a visit any and all questions or complaints need to be addressed by your insurance payer or benefits office.  Our only role with your insurance is filing a claim on your behalf free of charge and applying any payments or credits they make toward your account balance.  </w:t>
      </w:r>
      <w:r w:rsidR="000E5447">
        <w:rPr>
          <w:b/>
          <w:sz w:val="16"/>
          <w:szCs w:val="16"/>
          <w:lang w:val="en-US"/>
        </w:rPr>
        <w:t xml:space="preserve">If it </w:t>
      </w:r>
      <w:r w:rsidR="003E56E0">
        <w:rPr>
          <w:b/>
          <w:sz w:val="16"/>
          <w:szCs w:val="16"/>
          <w:lang w:val="en-US"/>
        </w:rPr>
        <w:t xml:space="preserve">is </w:t>
      </w:r>
      <w:r w:rsidR="000E5447">
        <w:rPr>
          <w:b/>
          <w:sz w:val="16"/>
          <w:szCs w:val="16"/>
          <w:lang w:val="en-US"/>
        </w:rPr>
        <w:t xml:space="preserve">discovered that you did not have the insurance coverage you thought you did or we learn that your coverage was terminated at the time of your visit or it was retroactively terminated either by your insurance company or employer, </w:t>
      </w:r>
      <w:r w:rsidR="000E5447" w:rsidRPr="007C7B30">
        <w:rPr>
          <w:sz w:val="16"/>
          <w:szCs w:val="16"/>
          <w:lang w:val="en-US"/>
        </w:rPr>
        <w:t>YOU WILL BE RESPOINIBLE FOR THE ENTIRE AMOUNT OF THAT VISIT.</w:t>
      </w:r>
    </w:p>
    <w:p w:rsidR="000E5447" w:rsidRDefault="000E5447" w:rsidP="007C7B30">
      <w:pPr>
        <w:pBdr>
          <w:top w:val="single" w:sz="4" w:space="1" w:color="auto"/>
          <w:left w:val="single" w:sz="4" w:space="4" w:color="auto"/>
          <w:bottom w:val="single" w:sz="4" w:space="1" w:color="auto"/>
          <w:right w:val="single" w:sz="4" w:space="4" w:color="auto"/>
        </w:pBdr>
        <w:spacing w:after="0"/>
        <w:jc w:val="both"/>
        <w:rPr>
          <w:sz w:val="16"/>
          <w:szCs w:val="16"/>
          <w:lang w:val="en-US"/>
        </w:rPr>
      </w:pPr>
      <w:r>
        <w:rPr>
          <w:b/>
          <w:sz w:val="16"/>
          <w:szCs w:val="16"/>
          <w:lang w:val="en-US"/>
        </w:rPr>
        <w:t>How and when do I pay for my visit?</w:t>
      </w:r>
      <w:r>
        <w:rPr>
          <w:b/>
          <w:sz w:val="16"/>
          <w:szCs w:val="16"/>
          <w:lang w:val="en-US"/>
        </w:rPr>
        <w:tab/>
      </w:r>
      <w:r>
        <w:rPr>
          <w:sz w:val="16"/>
          <w:szCs w:val="16"/>
          <w:lang w:val="en-US"/>
        </w:rPr>
        <w:t xml:space="preserve">We accept MasterCard, Visa, Amex, </w:t>
      </w:r>
      <w:r w:rsidR="009C2651">
        <w:rPr>
          <w:sz w:val="16"/>
          <w:szCs w:val="16"/>
          <w:lang w:val="en-US"/>
        </w:rPr>
        <w:t>and Discover as well as cash and personal checks.  We can also direct you to a third party lender called The Medical Bureau of Pittsburgh (they help patients pay for medical/dental expenses incurred).  Our practice does not have the expertise or resource</w:t>
      </w:r>
      <w:r w:rsidR="003E56E0">
        <w:rPr>
          <w:sz w:val="16"/>
          <w:szCs w:val="16"/>
          <w:lang w:val="en-US"/>
        </w:rPr>
        <w:t>s</w:t>
      </w:r>
      <w:r w:rsidR="009C2651">
        <w:rPr>
          <w:sz w:val="16"/>
          <w:szCs w:val="16"/>
          <w:lang w:val="en-US"/>
        </w:rPr>
        <w:t xml:space="preserve"> to act as both a dental office and lender/bank.  All known copayments are due at the time of visit.  Unknown copayments are billed after insurance claims settle.  Those unknown copayments are billed once free of charge.  Additional monthly bills may incur a $5.00 billing fee each.</w:t>
      </w:r>
    </w:p>
    <w:p w:rsidR="009C2651" w:rsidRDefault="009C2651" w:rsidP="007C7B30">
      <w:pPr>
        <w:pBdr>
          <w:top w:val="single" w:sz="4" w:space="1" w:color="auto"/>
          <w:left w:val="single" w:sz="4" w:space="4" w:color="auto"/>
          <w:bottom w:val="single" w:sz="4" w:space="1" w:color="auto"/>
          <w:right w:val="single" w:sz="4" w:space="4" w:color="auto"/>
        </w:pBdr>
        <w:spacing w:after="0"/>
        <w:jc w:val="both"/>
        <w:rPr>
          <w:sz w:val="16"/>
          <w:szCs w:val="16"/>
          <w:lang w:val="en-US"/>
        </w:rPr>
      </w:pPr>
      <w:r>
        <w:rPr>
          <w:b/>
          <w:sz w:val="16"/>
          <w:szCs w:val="16"/>
          <w:lang w:val="en-US"/>
        </w:rPr>
        <w:t>Do we send bills?</w:t>
      </w:r>
      <w:r>
        <w:rPr>
          <w:b/>
          <w:sz w:val="16"/>
          <w:szCs w:val="16"/>
          <w:lang w:val="en-US"/>
        </w:rPr>
        <w:tab/>
      </w:r>
      <w:r>
        <w:rPr>
          <w:sz w:val="16"/>
          <w:szCs w:val="16"/>
          <w:lang w:val="en-US"/>
        </w:rPr>
        <w:t xml:space="preserve">We do not send unnecessary bills.  That helps keep costs down and allows us to be one of the more affordable dental practices in the area.  All known copayments are due at the time of service.  </w:t>
      </w:r>
    </w:p>
    <w:p w:rsidR="009C2651" w:rsidRDefault="009C2651" w:rsidP="007C7B30">
      <w:pPr>
        <w:pBdr>
          <w:top w:val="single" w:sz="4" w:space="1" w:color="auto"/>
          <w:left w:val="single" w:sz="4" w:space="4" w:color="auto"/>
          <w:bottom w:val="single" w:sz="4" w:space="1" w:color="auto"/>
          <w:right w:val="single" w:sz="4" w:space="4" w:color="auto"/>
        </w:pBdr>
        <w:spacing w:after="0"/>
        <w:jc w:val="both"/>
        <w:rPr>
          <w:sz w:val="16"/>
          <w:szCs w:val="16"/>
          <w:lang w:val="en-US"/>
        </w:rPr>
      </w:pPr>
      <w:r>
        <w:rPr>
          <w:b/>
          <w:sz w:val="16"/>
          <w:szCs w:val="16"/>
          <w:lang w:val="en-US"/>
        </w:rPr>
        <w:t>What if I don’t pay?</w:t>
      </w:r>
      <w:r>
        <w:rPr>
          <w:b/>
          <w:sz w:val="16"/>
          <w:szCs w:val="16"/>
          <w:lang w:val="en-US"/>
        </w:rPr>
        <w:tab/>
      </w:r>
      <w:r>
        <w:rPr>
          <w:sz w:val="16"/>
          <w:szCs w:val="16"/>
          <w:lang w:val="en-US"/>
        </w:rPr>
        <w:t>A $5.00 billing fee can be imposed for each past due statement sent.</w:t>
      </w:r>
      <w:r w:rsidR="00F97E26">
        <w:rPr>
          <w:sz w:val="16"/>
          <w:szCs w:val="16"/>
          <w:lang w:val="en-US"/>
        </w:rPr>
        <w:t xml:space="preserve"> An additional finance charge of 1.5% monthly may be added to any balance over 30 days.  After 3 billing statements you may be turned</w:t>
      </w:r>
      <w:r w:rsidR="003E56E0">
        <w:rPr>
          <w:sz w:val="16"/>
          <w:szCs w:val="16"/>
          <w:lang w:val="en-US"/>
        </w:rPr>
        <w:t xml:space="preserve"> over</w:t>
      </w:r>
      <w:r w:rsidR="00F97E26">
        <w:rPr>
          <w:sz w:val="16"/>
          <w:szCs w:val="16"/>
          <w:lang w:val="en-US"/>
        </w:rPr>
        <w:t xml:space="preserve"> </w:t>
      </w:r>
      <w:r w:rsidR="007C7B30">
        <w:rPr>
          <w:sz w:val="16"/>
          <w:szCs w:val="16"/>
          <w:lang w:val="en-US"/>
        </w:rPr>
        <w:t>to the CREDIT BUREAU.</w:t>
      </w:r>
      <w:r w:rsidR="00F97E26">
        <w:rPr>
          <w:sz w:val="16"/>
          <w:szCs w:val="16"/>
          <w:lang w:val="en-US"/>
        </w:rPr>
        <w:t xml:space="preserve"> </w:t>
      </w:r>
      <w:r w:rsidR="007C7B30">
        <w:rPr>
          <w:sz w:val="16"/>
          <w:szCs w:val="16"/>
          <w:lang w:val="en-US"/>
        </w:rPr>
        <w:t xml:space="preserve"> </w:t>
      </w:r>
      <w:r w:rsidR="00F97E26">
        <w:rPr>
          <w:sz w:val="16"/>
          <w:szCs w:val="16"/>
          <w:lang w:val="en-US"/>
        </w:rPr>
        <w:t>Once this occurs we can no longer help.  All contact will be with the CREDIT BUREAU, they in essence own your debt. YOU WILL ALSO BE RESPONSIBLE FOR ANY AND ALL COLLECTION CHARGES.</w:t>
      </w:r>
    </w:p>
    <w:p w:rsidR="00F97E26" w:rsidRDefault="00F97E26" w:rsidP="007C7B30">
      <w:pPr>
        <w:pBdr>
          <w:top w:val="single" w:sz="4" w:space="1" w:color="auto"/>
          <w:left w:val="single" w:sz="4" w:space="4" w:color="auto"/>
          <w:bottom w:val="single" w:sz="4" w:space="1" w:color="auto"/>
          <w:right w:val="single" w:sz="4" w:space="4" w:color="auto"/>
        </w:pBdr>
        <w:spacing w:after="0"/>
        <w:jc w:val="both"/>
        <w:rPr>
          <w:sz w:val="16"/>
          <w:szCs w:val="16"/>
          <w:lang w:val="en-US"/>
        </w:rPr>
      </w:pPr>
      <w:r>
        <w:rPr>
          <w:b/>
          <w:sz w:val="16"/>
          <w:szCs w:val="16"/>
          <w:lang w:val="en-US"/>
        </w:rPr>
        <w:t>What if my check bounces?</w:t>
      </w:r>
      <w:r>
        <w:rPr>
          <w:b/>
          <w:sz w:val="16"/>
          <w:szCs w:val="16"/>
          <w:lang w:val="en-US"/>
        </w:rPr>
        <w:tab/>
      </w:r>
      <w:r>
        <w:rPr>
          <w:sz w:val="16"/>
          <w:szCs w:val="16"/>
          <w:lang w:val="en-US"/>
        </w:rPr>
        <w:t>A $30.00 fee will be added to your account (most of the fee is to cover bank charges that we are assessed as a result of YOUR bounced check)</w:t>
      </w:r>
    </w:p>
    <w:p w:rsidR="00F97E26" w:rsidRDefault="00F97E26" w:rsidP="007C7B30">
      <w:pPr>
        <w:pBdr>
          <w:top w:val="single" w:sz="4" w:space="1" w:color="auto"/>
          <w:left w:val="single" w:sz="4" w:space="4" w:color="auto"/>
          <w:bottom w:val="single" w:sz="4" w:space="1" w:color="auto"/>
          <w:right w:val="single" w:sz="4" w:space="4" w:color="auto"/>
        </w:pBdr>
        <w:spacing w:after="0"/>
        <w:jc w:val="both"/>
        <w:rPr>
          <w:sz w:val="16"/>
          <w:szCs w:val="16"/>
          <w:lang w:val="en-US"/>
        </w:rPr>
      </w:pPr>
      <w:r>
        <w:rPr>
          <w:b/>
          <w:sz w:val="16"/>
          <w:szCs w:val="16"/>
          <w:lang w:val="en-US"/>
        </w:rPr>
        <w:t>What if I just don’t show up for an appointment?</w:t>
      </w:r>
      <w:r>
        <w:rPr>
          <w:b/>
          <w:sz w:val="16"/>
          <w:szCs w:val="16"/>
          <w:lang w:val="en-US"/>
        </w:rPr>
        <w:tab/>
      </w:r>
      <w:r>
        <w:rPr>
          <w:sz w:val="16"/>
          <w:szCs w:val="16"/>
          <w:lang w:val="en-US"/>
        </w:rPr>
        <w:t>These appointments are time reserved.  Unless you notify us at least 24 hours in advance, it makes it impossible for us to offer the reserved</w:t>
      </w:r>
      <w:r w:rsidR="00CF3B24">
        <w:rPr>
          <w:sz w:val="16"/>
          <w:szCs w:val="16"/>
          <w:lang w:val="en-US"/>
        </w:rPr>
        <w:t xml:space="preserve"> time to someone else.  We try t</w:t>
      </w:r>
      <w:r>
        <w:rPr>
          <w:sz w:val="16"/>
          <w:szCs w:val="16"/>
          <w:lang w:val="en-US"/>
        </w:rPr>
        <w:t>o minimize these wasted appointments because if we have enough our fees begin to increase.  We want to be one of the more affordable dental practices in the area and discouraging missed appointments helps</w:t>
      </w:r>
      <w:r w:rsidR="007C7B30">
        <w:rPr>
          <w:sz w:val="16"/>
          <w:szCs w:val="16"/>
          <w:lang w:val="en-US"/>
        </w:rPr>
        <w:t xml:space="preserve"> </w:t>
      </w:r>
      <w:r>
        <w:rPr>
          <w:sz w:val="16"/>
          <w:szCs w:val="16"/>
          <w:lang w:val="en-US"/>
        </w:rPr>
        <w:t xml:space="preserve">us do that.  </w:t>
      </w:r>
    </w:p>
    <w:p w:rsidR="00F97E26" w:rsidRDefault="00F97E26" w:rsidP="007C7B30">
      <w:pPr>
        <w:pBdr>
          <w:top w:val="single" w:sz="4" w:space="1" w:color="auto"/>
          <w:left w:val="single" w:sz="4" w:space="4" w:color="auto"/>
          <w:bottom w:val="single" w:sz="4" w:space="1" w:color="auto"/>
          <w:right w:val="single" w:sz="4" w:space="4" w:color="auto"/>
        </w:pBdr>
        <w:spacing w:after="0"/>
        <w:jc w:val="both"/>
        <w:rPr>
          <w:sz w:val="16"/>
          <w:szCs w:val="16"/>
          <w:lang w:val="en-US"/>
        </w:rPr>
      </w:pPr>
    </w:p>
    <w:p w:rsidR="00F97E26" w:rsidRDefault="00F97E26" w:rsidP="007C7B30">
      <w:pPr>
        <w:pBdr>
          <w:top w:val="single" w:sz="4" w:space="1" w:color="auto"/>
          <w:left w:val="single" w:sz="4" w:space="4" w:color="auto"/>
          <w:bottom w:val="single" w:sz="4" w:space="1" w:color="auto"/>
          <w:right w:val="single" w:sz="4" w:space="4" w:color="auto"/>
        </w:pBdr>
        <w:spacing w:after="0"/>
        <w:jc w:val="both"/>
        <w:rPr>
          <w:sz w:val="16"/>
          <w:szCs w:val="16"/>
          <w:lang w:val="en-US"/>
        </w:rPr>
      </w:pPr>
      <w:r>
        <w:rPr>
          <w:sz w:val="16"/>
          <w:szCs w:val="16"/>
          <w:lang w:val="en-US"/>
        </w:rPr>
        <w:t>Thank you for your understanding o</w:t>
      </w:r>
      <w:r w:rsidR="007C7B30">
        <w:rPr>
          <w:sz w:val="16"/>
          <w:szCs w:val="16"/>
          <w:lang w:val="en-US"/>
        </w:rPr>
        <w:t>f our policies.  I have read, understand,</w:t>
      </w:r>
      <w:r w:rsidR="00CF3B24">
        <w:rPr>
          <w:sz w:val="16"/>
          <w:szCs w:val="16"/>
          <w:lang w:val="en-US"/>
        </w:rPr>
        <w:t xml:space="preserve"> and agree to the financial policy</w:t>
      </w:r>
      <w:r w:rsidR="007C7B30">
        <w:rPr>
          <w:sz w:val="16"/>
          <w:szCs w:val="16"/>
          <w:lang w:val="en-US"/>
        </w:rPr>
        <w:t xml:space="preserve"> as written above.  If you have any questions or concerns about our policies please ask s</w:t>
      </w:r>
      <w:r w:rsidR="003E56E0">
        <w:rPr>
          <w:sz w:val="16"/>
          <w:szCs w:val="16"/>
          <w:lang w:val="en-US"/>
        </w:rPr>
        <w:t xml:space="preserve">omeone on our </w:t>
      </w:r>
      <w:r w:rsidR="007C7B30">
        <w:rPr>
          <w:sz w:val="16"/>
          <w:szCs w:val="16"/>
          <w:lang w:val="en-US"/>
        </w:rPr>
        <w:t>staff.</w:t>
      </w:r>
    </w:p>
    <w:p w:rsidR="007C7B30" w:rsidRDefault="007C7B30" w:rsidP="007C7B30">
      <w:pPr>
        <w:pBdr>
          <w:top w:val="single" w:sz="4" w:space="1" w:color="auto"/>
          <w:left w:val="single" w:sz="4" w:space="4" w:color="auto"/>
          <w:bottom w:val="single" w:sz="4" w:space="1" w:color="auto"/>
          <w:right w:val="single" w:sz="4" w:space="4" w:color="auto"/>
        </w:pBdr>
        <w:spacing w:after="0"/>
        <w:jc w:val="both"/>
        <w:rPr>
          <w:sz w:val="16"/>
          <w:szCs w:val="16"/>
          <w:lang w:val="en-US"/>
        </w:rPr>
      </w:pPr>
    </w:p>
    <w:p w:rsidR="007C7B30" w:rsidRDefault="007C7B30" w:rsidP="007C7B30">
      <w:pPr>
        <w:pBdr>
          <w:top w:val="single" w:sz="4" w:space="1" w:color="auto"/>
          <w:left w:val="single" w:sz="4" w:space="4" w:color="auto"/>
          <w:bottom w:val="single" w:sz="4" w:space="1" w:color="auto"/>
          <w:right w:val="single" w:sz="4" w:space="4" w:color="auto"/>
        </w:pBdr>
        <w:spacing w:after="0"/>
        <w:jc w:val="both"/>
        <w:rPr>
          <w:sz w:val="16"/>
          <w:szCs w:val="16"/>
          <w:lang w:val="en-US"/>
        </w:rPr>
      </w:pPr>
    </w:p>
    <w:p w:rsidR="007C7B30" w:rsidRDefault="007C7B30" w:rsidP="007C7B30">
      <w:pPr>
        <w:pBdr>
          <w:top w:val="single" w:sz="4" w:space="1" w:color="auto"/>
          <w:left w:val="single" w:sz="4" w:space="4" w:color="auto"/>
          <w:bottom w:val="single" w:sz="4" w:space="1" w:color="auto"/>
          <w:right w:val="single" w:sz="4" w:space="4" w:color="auto"/>
        </w:pBdr>
        <w:spacing w:after="0"/>
        <w:jc w:val="both"/>
        <w:rPr>
          <w:sz w:val="16"/>
          <w:szCs w:val="16"/>
          <w:lang w:val="en-US"/>
        </w:rPr>
      </w:pPr>
      <w:r>
        <w:rPr>
          <w:sz w:val="16"/>
          <w:szCs w:val="16"/>
          <w:lang w:val="en-US"/>
        </w:rPr>
        <w:t>_________________________________________________________________________________________________</w:t>
      </w:r>
      <w:r>
        <w:rPr>
          <w:sz w:val="16"/>
          <w:szCs w:val="16"/>
          <w:lang w:val="en-US"/>
        </w:rPr>
        <w:tab/>
      </w:r>
      <w:r>
        <w:rPr>
          <w:sz w:val="16"/>
          <w:szCs w:val="16"/>
          <w:lang w:val="en-US"/>
        </w:rPr>
        <w:tab/>
        <w:t>___________________________</w:t>
      </w:r>
    </w:p>
    <w:p w:rsidR="00EE312A" w:rsidRDefault="007C7B30" w:rsidP="003E4ED1">
      <w:pPr>
        <w:pBdr>
          <w:top w:val="single" w:sz="4" w:space="1" w:color="auto"/>
          <w:left w:val="single" w:sz="4" w:space="4" w:color="auto"/>
          <w:bottom w:val="single" w:sz="4" w:space="1" w:color="auto"/>
          <w:right w:val="single" w:sz="4" w:space="4" w:color="auto"/>
        </w:pBdr>
        <w:spacing w:after="0"/>
        <w:jc w:val="both"/>
        <w:rPr>
          <w:sz w:val="12"/>
          <w:szCs w:val="12"/>
          <w:lang w:val="en-US"/>
        </w:rPr>
      </w:pPr>
      <w:r>
        <w:rPr>
          <w:sz w:val="16"/>
          <w:szCs w:val="16"/>
          <w:lang w:val="en-US"/>
        </w:rPr>
        <w:t>Patient/parent/ guardian</w:t>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r>
      <w:r>
        <w:rPr>
          <w:sz w:val="16"/>
          <w:szCs w:val="16"/>
          <w:lang w:val="en-US"/>
        </w:rPr>
        <w:tab/>
        <w:t>Date</w:t>
      </w:r>
    </w:p>
    <w:p w:rsidR="00EE312A" w:rsidRDefault="00EE312A" w:rsidP="007C7B30">
      <w:pPr>
        <w:pBdr>
          <w:top w:val="single" w:sz="4" w:space="1" w:color="auto"/>
          <w:left w:val="single" w:sz="4" w:space="4" w:color="auto"/>
          <w:bottom w:val="single" w:sz="4" w:space="1" w:color="auto"/>
          <w:right w:val="single" w:sz="4" w:space="4" w:color="auto"/>
        </w:pBdr>
        <w:spacing w:after="0"/>
        <w:ind w:firstLine="720"/>
        <w:jc w:val="both"/>
        <w:rPr>
          <w:sz w:val="12"/>
          <w:szCs w:val="12"/>
          <w:lang w:val="en-US"/>
        </w:rPr>
      </w:pPr>
    </w:p>
    <w:sectPr w:rsidR="00EE312A" w:rsidSect="0083278C">
      <w:pgSz w:w="12240" w:h="15840"/>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B1FAC"/>
    <w:multiLevelType w:val="hybridMultilevel"/>
    <w:tmpl w:val="A606A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E549E7"/>
    <w:multiLevelType w:val="hybridMultilevel"/>
    <w:tmpl w:val="D302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C1"/>
    <w:rsid w:val="00067F96"/>
    <w:rsid w:val="00090BFD"/>
    <w:rsid w:val="00090F65"/>
    <w:rsid w:val="000B7ABD"/>
    <w:rsid w:val="000C2BAE"/>
    <w:rsid w:val="000E5447"/>
    <w:rsid w:val="000E70A8"/>
    <w:rsid w:val="00265141"/>
    <w:rsid w:val="00285B54"/>
    <w:rsid w:val="00291322"/>
    <w:rsid w:val="002B1A34"/>
    <w:rsid w:val="002F29E6"/>
    <w:rsid w:val="003172C4"/>
    <w:rsid w:val="00343CB1"/>
    <w:rsid w:val="003C53E9"/>
    <w:rsid w:val="003E4ED1"/>
    <w:rsid w:val="003E56E0"/>
    <w:rsid w:val="00413DE5"/>
    <w:rsid w:val="00434EAD"/>
    <w:rsid w:val="004B6E8A"/>
    <w:rsid w:val="00517F98"/>
    <w:rsid w:val="00536E0E"/>
    <w:rsid w:val="005B17BF"/>
    <w:rsid w:val="005C4F5E"/>
    <w:rsid w:val="005E004F"/>
    <w:rsid w:val="00607812"/>
    <w:rsid w:val="00617399"/>
    <w:rsid w:val="00675C47"/>
    <w:rsid w:val="006C2F32"/>
    <w:rsid w:val="007409CE"/>
    <w:rsid w:val="0076052D"/>
    <w:rsid w:val="007762E3"/>
    <w:rsid w:val="007A5573"/>
    <w:rsid w:val="007C7B30"/>
    <w:rsid w:val="00812CD1"/>
    <w:rsid w:val="0083278C"/>
    <w:rsid w:val="00842EBE"/>
    <w:rsid w:val="00894BB7"/>
    <w:rsid w:val="009271C1"/>
    <w:rsid w:val="009756F8"/>
    <w:rsid w:val="00994855"/>
    <w:rsid w:val="009C2651"/>
    <w:rsid w:val="009E7755"/>
    <w:rsid w:val="00A22D0E"/>
    <w:rsid w:val="00A731ED"/>
    <w:rsid w:val="00B21071"/>
    <w:rsid w:val="00B33A84"/>
    <w:rsid w:val="00B87898"/>
    <w:rsid w:val="00C46DC7"/>
    <w:rsid w:val="00C527A7"/>
    <w:rsid w:val="00C74F61"/>
    <w:rsid w:val="00CF3B24"/>
    <w:rsid w:val="00D04668"/>
    <w:rsid w:val="00D3770A"/>
    <w:rsid w:val="00DA26C2"/>
    <w:rsid w:val="00E202CB"/>
    <w:rsid w:val="00E30D03"/>
    <w:rsid w:val="00EB0F68"/>
    <w:rsid w:val="00EE312A"/>
    <w:rsid w:val="00F21C46"/>
    <w:rsid w:val="00F97E26"/>
    <w:rsid w:val="00FA5737"/>
    <w:rsid w:val="00FC3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1C1"/>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71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71C1"/>
    <w:rPr>
      <w:rFonts w:asciiTheme="majorHAnsi" w:eastAsiaTheme="majorEastAsia" w:hAnsiTheme="majorHAnsi" w:cstheme="majorBidi"/>
      <w:color w:val="17365D" w:themeColor="text2" w:themeShade="BF"/>
      <w:spacing w:val="5"/>
      <w:kern w:val="28"/>
      <w:sz w:val="52"/>
      <w:szCs w:val="52"/>
      <w:lang w:val="es-MX"/>
    </w:rPr>
  </w:style>
  <w:style w:type="paragraph" w:styleId="BalloonText">
    <w:name w:val="Balloon Text"/>
    <w:basedOn w:val="Normal"/>
    <w:link w:val="BalloonTextChar"/>
    <w:uiPriority w:val="99"/>
    <w:semiHidden/>
    <w:unhideWhenUsed/>
    <w:rsid w:val="00F21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C46"/>
    <w:rPr>
      <w:rFonts w:ascii="Tahoma" w:hAnsi="Tahoma" w:cs="Tahoma"/>
      <w:sz w:val="16"/>
      <w:szCs w:val="16"/>
      <w:lang w:val="es-MX"/>
    </w:rPr>
  </w:style>
  <w:style w:type="paragraph" w:styleId="ListParagraph">
    <w:name w:val="List Paragraph"/>
    <w:basedOn w:val="Normal"/>
    <w:uiPriority w:val="34"/>
    <w:qFormat/>
    <w:rsid w:val="00C527A7"/>
    <w:pPr>
      <w:ind w:left="720"/>
      <w:contextualSpacing/>
    </w:pPr>
  </w:style>
  <w:style w:type="character" w:styleId="Hyperlink">
    <w:name w:val="Hyperlink"/>
    <w:basedOn w:val="DefaultParagraphFont"/>
    <w:uiPriority w:val="99"/>
    <w:unhideWhenUsed/>
    <w:rsid w:val="00EE312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1C1"/>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71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71C1"/>
    <w:rPr>
      <w:rFonts w:asciiTheme="majorHAnsi" w:eastAsiaTheme="majorEastAsia" w:hAnsiTheme="majorHAnsi" w:cstheme="majorBidi"/>
      <w:color w:val="17365D" w:themeColor="text2" w:themeShade="BF"/>
      <w:spacing w:val="5"/>
      <w:kern w:val="28"/>
      <w:sz w:val="52"/>
      <w:szCs w:val="52"/>
      <w:lang w:val="es-MX"/>
    </w:rPr>
  </w:style>
  <w:style w:type="paragraph" w:styleId="BalloonText">
    <w:name w:val="Balloon Text"/>
    <w:basedOn w:val="Normal"/>
    <w:link w:val="BalloonTextChar"/>
    <w:uiPriority w:val="99"/>
    <w:semiHidden/>
    <w:unhideWhenUsed/>
    <w:rsid w:val="00F21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C46"/>
    <w:rPr>
      <w:rFonts w:ascii="Tahoma" w:hAnsi="Tahoma" w:cs="Tahoma"/>
      <w:sz w:val="16"/>
      <w:szCs w:val="16"/>
      <w:lang w:val="es-MX"/>
    </w:rPr>
  </w:style>
  <w:style w:type="paragraph" w:styleId="ListParagraph">
    <w:name w:val="List Paragraph"/>
    <w:basedOn w:val="Normal"/>
    <w:uiPriority w:val="34"/>
    <w:qFormat/>
    <w:rsid w:val="00C527A7"/>
    <w:pPr>
      <w:ind w:left="720"/>
      <w:contextualSpacing/>
    </w:pPr>
  </w:style>
  <w:style w:type="character" w:styleId="Hyperlink">
    <w:name w:val="Hyperlink"/>
    <w:basedOn w:val="DefaultParagraphFont"/>
    <w:uiPriority w:val="99"/>
    <w:unhideWhenUsed/>
    <w:rsid w:val="00EE31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 TargetMode="Externa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1855</TotalTime>
  <Pages>1</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ARSENIO MANALO</dc:creator>
  <cp:lastModifiedBy>ARSENIO MANALO</cp:lastModifiedBy>
  <cp:revision>9</cp:revision>
  <cp:lastPrinted>2015-06-09T15:32:00Z</cp:lastPrinted>
  <dcterms:created xsi:type="dcterms:W3CDTF">2015-06-16T12:06:00Z</dcterms:created>
  <dcterms:modified xsi:type="dcterms:W3CDTF">2017-04-13T11:53:00Z</dcterms:modified>
</cp:coreProperties>
</file>